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r>
        <w:drawing>
          <wp:anchor distT="0" distB="0" distL="0" distR="0" simplePos="0" allowOverlap="1" behindDoc="1" locked="0" layoutInCell="1" relativeHeight="10687050">
            <wp:simplePos x="0" y="0"/>
            <wp:positionH relativeFrom="page">
              <wp:align>center</wp:align>
            </wp:positionH>
            <wp:positionV relativeFrom="page">
              <wp:align>center</wp:align>
            </wp:positionV>
            <wp:extent cx="15116175" cy="10687050"/>
            <wp:effectExtent t="0" r="0" b="0" l="0"/>
            <wp:wrapNone/>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15116175" cy="10687050"/>
                    </a:xfrm>
                    <a:prstGeom prst="rect">
                      <a:avLst/>
                    </a:prstGeom>
                  </pic:spPr>
                </pic:pic>
              </a:graphicData>
            </a:graphic>
          </wp:anchor>
        </w:drawing>
      </w:r>
    </w:p>
    <w:p>
      <w:pPr>
        <w:spacing w:after="10"/>
      </w:pPr>
      <w:r>
        <w:rPr>
          <w:rFonts w:ascii="Arial" w:cs="Arial" w:eastAsia="Arial" w:hAnsi="Arial"/>
          <w:b/>
          <w:bCs/>
          <w:color w:val="1A1A1A"/>
          <w:sz w:val="34"/>
          <w:szCs w:val="34"/>
        </w:rPr>
        <w:t xml:space="preserve">MAPPING ASSESSMENT LOGICS IN WORK-INTEGRATED HIGHER EDUCATION</w:t>
      </w:r>
    </w:p>
    <w:p>
      <w:pPr>
        <w:spacing w:after="200"/>
      </w:pPr>
      <w:r>
        <w:rPr>
          <w:rFonts w:ascii="Arial" w:cs="Arial" w:eastAsia="Arial" w:hAnsi="Arial"/>
          <w:color w:val="595959"/>
          <w:sz w:val="20"/>
          <w:szCs w:val="20"/>
        </w:rPr>
        <w:t xml:space="preserve">A Theory of Change approach    David Yarwood    AHE Round Table 2026    5 minutes</w:t>
      </w:r>
    </w:p>
    <w:tbl>
      <w:tblPr>
        <w:tblW w:type="dxa" w:w="22811"/>
        <w:tblBorders>
          <w:top w:val="single" w:color="auto" w:sz="4"/>
          <w:left w:val="single" w:color="auto" w:sz="4"/>
          <w:bottom w:val="single" w:color="auto" w:sz="4"/>
          <w:right w:val="single" w:color="auto" w:sz="4"/>
          <w:insideH w:val="single" w:color="auto" w:sz="4"/>
          <w:insideV w:val="single" w:color="auto" w:sz="4"/>
        </w:tblBorders>
      </w:tblPr>
      <w:tblGrid>
        <w:gridCol w:w="22811"/>
      </w:tblGrid>
      <w:tr>
        <w:tc>
          <w:tcPr>
            <w:tcW w:type="dxa" w:w="22811"/>
            <w:tcBorders>
              <w:top w:val="single" w:color="1A1A1A" w:sz="10"/>
              <w:left w:val="single" w:color="1A1A1A" w:sz="10"/>
              <w:bottom w:val="single" w:color="1A1A1A" w:sz="10"/>
              <w:right w:val="single" w:color="1A1A1A" w:sz="10"/>
            </w:tcBorders>
            <w:tcMar>
              <w:top w:type="dxa" w:w="260"/>
              <w:left w:type="dxa" w:w="260"/>
              <w:bottom w:type="dxa" w:w="260"/>
              <w:right w:type="dxa" w:w="260"/>
            </w:tcMar>
            <w:vAlign w:val="top"/>
          </w:tcPr>
          <w:p>
            <w:pPr>
              <w:spacing w:after="40"/>
            </w:pPr>
            <w:r>
              <w:rPr>
                <w:rFonts w:ascii="Arial" w:cs="Arial" w:eastAsia="Arial" w:hAnsi="Arial"/>
                <w:b/>
                <w:bCs/>
                <w:color w:val="C0271E"/>
                <w:sz w:val="34"/>
                <w:szCs w:val="34"/>
              </w:rPr>
              <w:t xml:space="preserve">1  </w:t>
            </w:r>
            <w:r>
              <w:rPr>
                <w:rFonts w:ascii="Arial" w:cs="Arial" w:eastAsia="Arial" w:hAnsi="Arial"/>
                <w:b/>
                <w:bCs/>
                <w:color w:val="1A1A1A"/>
                <w:sz w:val="26"/>
                <w:szCs w:val="26"/>
              </w:rPr>
              <w:t xml:space="preserve">THE ARGUMENT</w:t>
            </w:r>
          </w:p>
          <w:p>
            <w:pPr>
              <w:spacing w:after="100"/>
            </w:pPr>
            <w:r>
              <w:drawing>
                <wp:inline distT="0" distB="0" distL="0" distR="0">
                  <wp:extent cx="2476500" cy="20002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2476500" cy="200025"/>
                          </a:xfrm>
                          <a:prstGeom prst="rect">
                            <a:avLst/>
                          </a:prstGeom>
                        </pic:spPr>
                      </pic:pic>
                    </a:graphicData>
                  </a:graphic>
                </wp:inline>
              </w:drawing>
            </w:r>
          </w:p>
          <w:p>
            <w:pPr>
              <w:spacing w:after="70"/>
            </w:pPr>
            <w:r>
              <w:rPr>
                <w:rFonts w:ascii="Arial" w:cs="Arial" w:eastAsia="Arial" w:hAnsi="Arial"/>
                <w:b w:val="false"/>
                <w:bCs w:val="false"/>
                <w:i w:val="false"/>
                <w:iCs w:val="false"/>
                <w:color w:val="1A1A1A"/>
                <w:sz w:val="22"/>
                <w:szCs w:val="22"/>
              </w:rPr>
              <w:t xml:space="preserve">Assessment briefs and rubrics are not neutral paperwork. Each one encodes an implicit theory: that a given task, structured in a given way, will produce a given form of learning. That encoded theory is a causal chain running from inputs through activities and outputs to outcomes and underlying assumptions, and like any causal chain, it can hold together or fail.</w:t>
            </w:r>
          </w:p>
          <w:p>
            <w:pPr>
              <w:spacing w:after="70"/>
            </w:pPr>
            <w:r>
              <w:rPr>
                <w:rFonts w:ascii="Arial" w:cs="Arial" w:eastAsia="Arial" w:hAnsi="Arial"/>
                <w:b w:val="false"/>
                <w:bCs w:val="false"/>
                <w:i w:val="false"/>
                <w:iCs w:val="false"/>
                <w:color w:val="1A1A1A"/>
                <w:sz w:val="22"/>
                <w:szCs w:val="22"/>
              </w:rPr>
              <w:t xml:space="preserve">Theory of Change has long served this diagnostic function in programme evaluation, testing whether stated interventions plausibly produce their claimed effects. This paper relocates ToC from programme evaluation to the assessment artefact itself, reading briefs and rubrics as implicit Theories of Change and interrogating whether the causal reasoning embedded within the document actually holds.</w:t>
            </w:r>
          </w:p>
          <w:p>
            <w:pPr>
              <w:spacing w:after="70"/>
            </w:pPr>
            <w:r>
              <w:rPr>
                <w:rFonts w:ascii="Arial" w:cs="Arial" w:eastAsia="Arial" w:hAnsi="Arial"/>
                <w:b w:val="false"/>
                <w:bCs w:val="false"/>
                <w:i w:val="false"/>
                <w:iCs w:val="false"/>
                <w:color w:val="595959"/>
                <w:sz w:val="19"/>
                <w:szCs w:val="19"/>
              </w:rPr>
              <w:t xml:space="preserve">Method, in one line: document analysis of marking rubrics, programme handbooks, the apprenticeship standard and assignment briefs from a work-integrated degree apprenticeship, coded deductively to ToC elements, then re-analysed inductively as themes emerged.</w:t>
            </w:r>
          </w:p>
          <w:p>
            <w:pPr>
              <w:spacing w:after="70"/>
            </w:pPr>
            <w:r>
              <w:rPr>
                <w:rFonts w:ascii="Arial" w:cs="Arial" w:eastAsia="Arial" w:hAnsi="Arial"/>
                <w:b w:val="false"/>
                <w:bCs w:val="false"/>
                <w:i/>
                <w:iCs/>
                <w:color w:val="595959"/>
                <w:sz w:val="22"/>
                <w:szCs w:val="22"/>
              </w:rPr>
              <w:t xml:space="preserve">Why ToC, why now: work-integrated programmes involve multiple stakeholders at once, the academic standard, employer expectations, professional body requirements and external scrutiny from Skills England and Ofsted. Each reads the same artefact differently, which makes the underlying logic messier, not cleaner.</w:t>
            </w:r>
          </w:p>
          <w:p>
            <w:pPr>
              <w:spacing w:after="90"/>
            </w:pPr>
            <w:r>
              <w:rPr>
                <w:rFonts w:ascii="Arial" w:cs="Arial" w:eastAsia="Arial" w:hAnsi="Arial"/>
                <w:b/>
                <w:bCs/>
                <w:i w:val="false"/>
                <w:iCs w:val="false"/>
                <w:color w:val="1A1A1A"/>
                <w:sz w:val="22"/>
                <w:szCs w:val="22"/>
              </w:rPr>
              <w:t xml:space="preserve">The reversal: my usual framing going in was a compliance culture quietly squeezing out creativity and critical thinking, edited out of the documents altogether. The artefacts told a more specific story. Creativity and critical thinking are not edited out, they are named constantly, in standards, handbooks and rationales, and then left out of the criteria that actually carry marks.</w:t>
            </w:r>
          </w:p>
        </w:tc>
      </w:tr>
    </w:tbl>
    <w:p>
      <w:pPr>
        <w:spacing w:before="220"/>
      </w:pPr>
    </w:p>
    <w:tbl>
      <w:tblPr>
        <w:tblW w:type="dxa" w:w="22811"/>
        <w:tblBorders>
          <w:top w:val="single" w:color="auto" w:sz="4"/>
          <w:left w:val="single" w:color="auto" w:sz="4"/>
          <w:bottom w:val="single" w:color="auto" w:sz="4"/>
          <w:right w:val="single" w:color="auto" w:sz="4"/>
          <w:insideH w:val="single" w:color="auto" w:sz="4"/>
          <w:insideV w:val="single" w:color="auto" w:sz="4"/>
        </w:tblBorders>
      </w:tblPr>
      <w:tblGrid>
        <w:gridCol w:w="7554"/>
        <w:gridCol w:w="7554"/>
        <w:gridCol w:w="7554"/>
      </w:tblGrid>
      <w:tr>
        <w:tc>
          <w:tcPr>
            <w:tcW w:type="dxa" w:w="7554"/>
            <w:tcBorders>
              <w:top w:val="single" w:color="1A1A1A" w:sz="10"/>
              <w:left w:val="single" w:color="1A1A1A" w:sz="10"/>
              <w:bottom w:val="single" w:color="1A1A1A" w:sz="10"/>
              <w:right w:val="single" w:color="1A1A1A" w:sz="10"/>
            </w:tcBorders>
            <w:tcMar>
              <w:top w:type="dxa" w:w="260"/>
              <w:left w:type="dxa" w:w="260"/>
              <w:bottom w:type="dxa" w:w="260"/>
              <w:right w:type="dxa" w:w="260"/>
            </w:tcMar>
            <w:vAlign w:val="top"/>
          </w:tcPr>
          <w:p>
            <w:pPr>
              <w:spacing w:after="40"/>
            </w:pPr>
            <w:r>
              <w:rPr>
                <w:rFonts w:ascii="Arial" w:cs="Arial" w:eastAsia="Arial" w:hAnsi="Arial"/>
                <w:b/>
                <w:bCs/>
                <w:color w:val="C0271E"/>
                <w:sz w:val="34"/>
                <w:szCs w:val="34"/>
              </w:rPr>
              <w:t xml:space="preserve">2  </w:t>
            </w:r>
            <w:r>
              <w:rPr>
                <w:rFonts w:ascii="Arial" w:cs="Arial" w:eastAsia="Arial" w:hAnsi="Arial"/>
                <w:b/>
                <w:bCs/>
                <w:color w:val="1A1A1A"/>
                <w:sz w:val="26"/>
                <w:szCs w:val="26"/>
              </w:rPr>
              <w:t xml:space="preserve">COMPLIANCE OVER PROCESS</w:t>
            </w:r>
          </w:p>
          <w:p>
            <w:pPr>
              <w:spacing w:after="100"/>
            </w:pPr>
            <w:r>
              <w:drawing>
                <wp:inline distT="0" distB="0" distL="0" distR="0">
                  <wp:extent cx="2095500" cy="17145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2095500" cy="171450"/>
                          </a:xfrm>
                          <a:prstGeom prst="rect">
                            <a:avLst/>
                          </a:prstGeom>
                        </pic:spPr>
                      </pic:pic>
                    </a:graphicData>
                  </a:graphic>
                </wp:inline>
              </w:drawing>
            </w:r>
          </w:p>
          <w:p>
            <w:pPr>
              <w:spacing w:after="90"/>
            </w:pPr>
            <w:r>
              <w:rPr>
                <w:rFonts w:ascii="Arial" w:cs="Arial" w:eastAsia="Arial" w:hAnsi="Arial"/>
                <w:b w:val="false"/>
                <w:bCs w:val="false"/>
                <w:i w:val="false"/>
                <w:iCs w:val="false"/>
                <w:color w:val="1A1A1A"/>
                <w:sz w:val="21"/>
                <w:szCs w:val="21"/>
              </w:rPr>
              <w:t xml:space="preserve">Inputs and outputs are heavily specified: percentage weightings, exact word counts, prescribed structure, all fixed before the student starts.</w:t>
            </w:r>
          </w:p>
          <w:p>
            <w:pPr>
              <w:spacing w:after="90"/>
            </w:pPr>
            <w:r>
              <w:rPr>
                <w:rFonts w:ascii="Arial" w:cs="Arial" w:eastAsia="Arial" w:hAnsi="Arial"/>
                <w:b w:val="false"/>
                <w:bCs w:val="false"/>
                <w:i/>
                <w:iCs/>
                <w:color w:val="595959"/>
                <w:sz w:val="19"/>
                <w:szCs w:val="19"/>
              </w:rPr>
              <w:t xml:space="preserve">“Your report should be structured as follows: Introduction (10%), Analysis (40%)...”</w:t>
            </w:r>
          </w:p>
          <w:p>
            <w:pPr>
              <w:spacing w:after="90"/>
            </w:pPr>
            <w:r>
              <w:rPr>
                <w:rFonts w:ascii="Arial" w:cs="Arial" w:eastAsia="Arial" w:hAnsi="Arial"/>
                <w:b w:val="false"/>
                <w:bCs w:val="false"/>
                <w:i w:val="false"/>
                <w:iCs w:val="false"/>
                <w:color w:val="1A1A1A"/>
                <w:sz w:val="21"/>
                <w:szCs w:val="21"/>
              </w:rPr>
              <w:t xml:space="preserve">Drafts are encouraged for feedback. They are not graded. Process is rhetorically present and evaluatively absent.</w:t>
            </w:r>
          </w:p>
          <w:p>
            <w:pPr>
              <w:spacing w:after="30"/>
            </w:pPr>
            <w:r>
              <w:rPr>
                <w:rFonts w:ascii="Arial" w:cs="Arial" w:eastAsia="Arial" w:hAnsi="Arial"/>
                <w:b/>
                <w:bCs/>
                <w:i w:val="false"/>
                <w:iCs w:val="false"/>
                <w:color w:val="1A1A1A"/>
                <w:sz w:val="19"/>
                <w:szCs w:val="19"/>
              </w:rPr>
              <w:t xml:space="preserve">What it means</w:t>
            </w:r>
          </w:p>
          <w:p>
            <w:pPr>
              <w:spacing w:after="90"/>
            </w:pPr>
            <w:r>
              <w:rPr>
                <w:rFonts w:ascii="Arial" w:cs="Arial" w:eastAsia="Arial" w:hAnsi="Arial"/>
                <w:b w:val="false"/>
                <w:bCs w:val="false"/>
                <w:i/>
                <w:iCs/>
                <w:color w:val="C0271E"/>
                <w:sz w:val="21"/>
                <w:szCs w:val="21"/>
              </w:rPr>
              <w:t xml:space="preserve">Structure becomes the thing that is auditable. Judgement does not.</w:t>
            </w:r>
          </w:p>
        </w:tc>
        <w:tc>
          <w:tcPr>
            <w:tcW w:type="dxa" w:w="7554"/>
            <w:tcBorders>
              <w:top w:val="single" w:color="1A1A1A" w:sz="10"/>
              <w:left w:val="single" w:color="1A1A1A" w:sz="10"/>
              <w:bottom w:val="single" w:color="1A1A1A" w:sz="10"/>
              <w:right w:val="single" w:color="1A1A1A" w:sz="10"/>
            </w:tcBorders>
            <w:tcMar>
              <w:top w:type="dxa" w:w="260"/>
              <w:left w:type="dxa" w:w="260"/>
              <w:bottom w:type="dxa" w:w="260"/>
              <w:right w:type="dxa" w:w="260"/>
            </w:tcMar>
            <w:vAlign w:val="top"/>
          </w:tcPr>
          <w:p>
            <w:pPr>
              <w:spacing w:after="40"/>
            </w:pPr>
            <w:r>
              <w:rPr>
                <w:rFonts w:ascii="Arial" w:cs="Arial" w:eastAsia="Arial" w:hAnsi="Arial"/>
                <w:b/>
                <w:bCs/>
                <w:color w:val="C0271E"/>
                <w:sz w:val="34"/>
                <w:szCs w:val="34"/>
              </w:rPr>
              <w:t xml:space="preserve">3  </w:t>
            </w:r>
            <w:r>
              <w:rPr>
                <w:rFonts w:ascii="Arial" w:cs="Arial" w:eastAsia="Arial" w:hAnsi="Arial"/>
                <w:b/>
                <w:bCs/>
                <w:color w:val="1A1A1A"/>
                <w:sz w:val="26"/>
                <w:szCs w:val="26"/>
              </w:rPr>
              <w:t xml:space="preserve">ASPIRATION WITHOUT ENACTMENT</w:t>
            </w:r>
          </w:p>
          <w:p>
            <w:pPr>
              <w:spacing w:after="100"/>
            </w:pPr>
            <w:r>
              <w:drawing>
                <wp:inline distT="0" distB="0" distL="0" distR="0">
                  <wp:extent cx="2095500" cy="17145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2095500" cy="171450"/>
                          </a:xfrm>
                          <a:prstGeom prst="rect">
                            <a:avLst/>
                          </a:prstGeom>
                        </pic:spPr>
                      </pic:pic>
                    </a:graphicData>
                  </a:graphic>
                </wp:inline>
              </w:drawing>
            </w:r>
          </w:p>
          <w:p>
            <w:pPr>
              <w:spacing w:after="90"/>
            </w:pPr>
            <w:r>
              <w:rPr>
                <w:rFonts w:ascii="Arial" w:cs="Arial" w:eastAsia="Arial" w:hAnsi="Arial"/>
                <w:b w:val="false"/>
                <w:bCs w:val="false"/>
                <w:i w:val="false"/>
                <w:iCs w:val="false"/>
                <w:color w:val="1A1A1A"/>
                <w:sz w:val="21"/>
                <w:szCs w:val="21"/>
              </w:rPr>
              <w:t xml:space="preserve">Programme documents consistently name creativity, collaboration and professional judgement as outcomes. These rarely survive translation into what is marked.</w:t>
            </w:r>
          </w:p>
          <w:p>
            <w:pPr>
              <w:spacing w:after="90"/>
            </w:pPr>
            <w:r>
              <w:rPr>
                <w:rFonts w:ascii="Arial" w:cs="Arial" w:eastAsia="Arial" w:hAnsi="Arial"/>
                <w:b w:val="false"/>
                <w:bCs w:val="false"/>
                <w:i w:val="false"/>
                <w:iCs w:val="false"/>
                <w:color w:val="1A1A1A"/>
                <w:sz w:val="21"/>
                <w:szCs w:val="21"/>
              </w:rPr>
              <w:t xml:space="preserve">Creativity becomes breadth of sources. Collaboration is assessed individually. Reflection is worth around 5% of the mark.</w:t>
            </w:r>
          </w:p>
          <w:p>
            <w:pPr>
              <w:spacing w:after="90"/>
            </w:pPr>
            <w:r>
              <w:rPr>
                <w:rFonts w:ascii="Arial" w:cs="Arial" w:eastAsia="Arial" w:hAnsi="Arial"/>
                <w:b w:val="false"/>
                <w:bCs w:val="false"/>
                <w:i w:val="false"/>
                <w:iCs w:val="false"/>
                <w:color w:val="1A1A1A"/>
                <w:sz w:val="21"/>
                <w:szCs w:val="21"/>
              </w:rPr>
              <w:t xml:space="preserve">One brief breaks the pattern, explicitly inviting a creative output, proof the pattern is institutional choice rather than necessity.</w:t>
            </w:r>
          </w:p>
          <w:p>
            <w:pPr>
              <w:spacing w:after="30"/>
            </w:pPr>
            <w:r>
              <w:rPr>
                <w:rFonts w:ascii="Arial" w:cs="Arial" w:eastAsia="Arial" w:hAnsi="Arial"/>
                <w:b/>
                <w:bCs/>
                <w:i w:val="false"/>
                <w:iCs w:val="false"/>
                <w:color w:val="1A1A1A"/>
                <w:sz w:val="19"/>
                <w:szCs w:val="19"/>
              </w:rPr>
              <w:t xml:space="preserve">What it means</w:t>
            </w:r>
          </w:p>
          <w:p>
            <w:pPr>
              <w:spacing w:after="90"/>
            </w:pPr>
            <w:r>
              <w:rPr>
                <w:rFonts w:ascii="Arial" w:cs="Arial" w:eastAsia="Arial" w:hAnsi="Arial"/>
                <w:b w:val="false"/>
                <w:bCs w:val="false"/>
                <w:i/>
                <w:iCs/>
                <w:color w:val="C0271E"/>
                <w:sz w:val="21"/>
                <w:szCs w:val="21"/>
              </w:rPr>
              <w:t xml:space="preserve">What the programme says it values and what it actually marks are two different documents pretending to be one.</w:t>
            </w:r>
          </w:p>
        </w:tc>
        <w:tc>
          <w:tcPr>
            <w:tcW w:type="dxa" w:w="7554"/>
            <w:tcBorders>
              <w:top w:val="single" w:color="1A1A1A" w:sz="10"/>
              <w:left w:val="single" w:color="1A1A1A" w:sz="10"/>
              <w:bottom w:val="single" w:color="1A1A1A" w:sz="10"/>
              <w:right w:val="single" w:color="1A1A1A" w:sz="10"/>
            </w:tcBorders>
            <w:tcMar>
              <w:top w:type="dxa" w:w="260"/>
              <w:left w:type="dxa" w:w="260"/>
              <w:bottom w:type="dxa" w:w="260"/>
              <w:right w:type="dxa" w:w="260"/>
            </w:tcMar>
            <w:vAlign w:val="top"/>
          </w:tcPr>
          <w:p>
            <w:pPr>
              <w:spacing w:after="40"/>
            </w:pPr>
            <w:r>
              <w:rPr>
                <w:rFonts w:ascii="Arial" w:cs="Arial" w:eastAsia="Arial" w:hAnsi="Arial"/>
                <w:b/>
                <w:bCs/>
                <w:color w:val="C0271E"/>
                <w:sz w:val="34"/>
                <w:szCs w:val="34"/>
              </w:rPr>
              <w:t xml:space="preserve">4  </w:t>
            </w:r>
            <w:r>
              <w:rPr>
                <w:rFonts w:ascii="Arial" w:cs="Arial" w:eastAsia="Arial" w:hAnsi="Arial"/>
                <w:b/>
                <w:bCs/>
                <w:color w:val="1A1A1A"/>
                <w:sz w:val="26"/>
                <w:szCs w:val="26"/>
              </w:rPr>
              <w:t xml:space="preserve">AUTHENTICITY UNDER PRESSURE</w:t>
            </w:r>
          </w:p>
          <w:p>
            <w:pPr>
              <w:spacing w:after="100"/>
            </w:pPr>
            <w:r>
              <w:drawing>
                <wp:inline distT="0" distB="0" distL="0" distR="0">
                  <wp:extent cx="2095500" cy="17145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2095500" cy="171450"/>
                          </a:xfrm>
                          <a:prstGeom prst="rect">
                            <a:avLst/>
                          </a:prstGeom>
                        </pic:spPr>
                      </pic:pic>
                    </a:graphicData>
                  </a:graphic>
                </wp:inline>
              </w:drawing>
            </w:r>
          </w:p>
          <w:p>
            <w:pPr>
              <w:spacing w:after="90"/>
            </w:pPr>
            <w:r>
              <w:rPr>
                <w:rFonts w:ascii="Arial" w:cs="Arial" w:eastAsia="Arial" w:hAnsi="Arial"/>
                <w:b w:val="false"/>
                <w:bCs w:val="false"/>
                <w:i w:val="false"/>
                <w:iCs w:val="false"/>
                <w:color w:val="1A1A1A"/>
                <w:sz w:val="21"/>
                <w:szCs w:val="21"/>
              </w:rPr>
              <w:t xml:space="preserve">Generative AI is banned outright in some briefs, permitted with attribution in others, and unmentioned elsewhere, within the same programme.</w:t>
            </w:r>
          </w:p>
          <w:p>
            <w:pPr>
              <w:spacing w:after="90"/>
            </w:pPr>
            <w:r>
              <w:rPr>
                <w:rFonts w:ascii="Arial" w:cs="Arial" w:eastAsia="Arial" w:hAnsi="Arial"/>
                <w:b w:val="false"/>
                <w:bCs w:val="false"/>
                <w:i/>
                <w:iCs/>
                <w:color w:val="595959"/>
                <w:sz w:val="19"/>
                <w:szCs w:val="19"/>
              </w:rPr>
              <w:t xml:space="preserve">“The use of generative AI is not permitted for this assessment, including but not limited to Microsoft Copilot or ChatGPT.”</w:t>
            </w:r>
          </w:p>
          <w:p>
            <w:pPr>
              <w:spacing w:after="90"/>
            </w:pPr>
            <w:r>
              <w:rPr>
                <w:rFonts w:ascii="Arial" w:cs="Arial" w:eastAsia="Arial" w:hAnsi="Arial"/>
                <w:b w:val="false"/>
                <w:bCs w:val="false"/>
                <w:i w:val="false"/>
                <w:iCs w:val="false"/>
                <w:color w:val="1A1A1A"/>
                <w:sz w:val="21"/>
                <w:szCs w:val="21"/>
              </w:rPr>
              <w:t xml:space="preserve">This is not really an AI policy gap. It is what happens when the assumptions layer of the logic chain has never been agreed.</w:t>
            </w:r>
          </w:p>
          <w:p>
            <w:pPr>
              <w:spacing w:after="30"/>
            </w:pPr>
            <w:r>
              <w:rPr>
                <w:rFonts w:ascii="Arial" w:cs="Arial" w:eastAsia="Arial" w:hAnsi="Arial"/>
                <w:b/>
                <w:bCs/>
                <w:i w:val="false"/>
                <w:iCs w:val="false"/>
                <w:color w:val="1A1A1A"/>
                <w:sz w:val="19"/>
                <w:szCs w:val="19"/>
              </w:rPr>
              <w:t xml:space="preserve">What it means</w:t>
            </w:r>
          </w:p>
          <w:p>
            <w:pPr>
              <w:spacing w:after="90"/>
            </w:pPr>
            <w:r>
              <w:rPr>
                <w:rFonts w:ascii="Arial" w:cs="Arial" w:eastAsia="Arial" w:hAnsi="Arial"/>
                <w:b w:val="false"/>
                <w:bCs w:val="false"/>
                <w:i/>
                <w:iCs/>
                <w:color w:val="C0271E"/>
                <w:sz w:val="21"/>
                <w:szCs w:val="21"/>
              </w:rPr>
              <w:t xml:space="preserve">We are arguing about detection because we have not agreed what we are actually trying to protect.</w:t>
            </w:r>
          </w:p>
        </w:tc>
      </w:tr>
    </w:tbl>
    <w:p>
      <w:pPr>
        <w:spacing w:before="220"/>
      </w:pPr>
    </w:p>
    <w:tbl>
      <w:tblPr>
        <w:tblW w:type="dxa" w:w="22811"/>
        <w:tblBorders>
          <w:top w:val="single" w:color="auto" w:sz="4"/>
          <w:left w:val="single" w:color="auto" w:sz="4"/>
          <w:bottom w:val="single" w:color="auto" w:sz="4"/>
          <w:right w:val="single" w:color="auto" w:sz="4"/>
          <w:insideH w:val="single" w:color="auto" w:sz="4"/>
          <w:insideV w:val="single" w:color="auto" w:sz="4"/>
        </w:tblBorders>
      </w:tblPr>
      <w:tblGrid>
        <w:gridCol w:w="12774"/>
        <w:gridCol w:w="9977"/>
      </w:tblGrid>
      <w:tr>
        <w:tc>
          <w:tcPr>
            <w:tcW w:type="dxa" w:w="12774"/>
            <w:tcBorders>
              <w:top w:val="single" w:color="1A1A1A" w:sz="10"/>
              <w:left w:val="single" w:color="1A1A1A" w:sz="10"/>
              <w:bottom w:val="single" w:color="1A1A1A" w:sz="10"/>
              <w:right w:val="single" w:color="1A1A1A" w:sz="10"/>
            </w:tcBorders>
            <w:tcMar>
              <w:top w:type="dxa" w:w="260"/>
              <w:left w:type="dxa" w:w="260"/>
              <w:bottom w:type="dxa" w:w="260"/>
              <w:right w:type="dxa" w:w="260"/>
            </w:tcMar>
            <w:vAlign w:val="top"/>
          </w:tcPr>
          <w:p>
            <w:pPr>
              <w:spacing w:after="40"/>
            </w:pPr>
            <w:r>
              <w:rPr>
                <w:rFonts w:ascii="Arial" w:cs="Arial" w:eastAsia="Arial" w:hAnsi="Arial"/>
                <w:b/>
                <w:bCs/>
                <w:color w:val="C0271E"/>
                <w:sz w:val="34"/>
                <w:szCs w:val="34"/>
              </w:rPr>
              <w:t xml:space="preserve">5  </w:t>
            </w:r>
            <w:r>
              <w:rPr>
                <w:rFonts w:ascii="Arial" w:cs="Arial" w:eastAsia="Arial" w:hAnsi="Arial"/>
                <w:b/>
                <w:bCs/>
                <w:color w:val="1A1A1A"/>
                <w:sz w:val="26"/>
                <w:szCs w:val="26"/>
              </w:rPr>
              <w:t xml:space="preserve">SO WHAT</w:t>
            </w:r>
          </w:p>
          <w:p>
            <w:pPr>
              <w:spacing w:after="100"/>
            </w:pPr>
            <w:r>
              <w:drawing>
                <wp:inline distT="0" distB="0" distL="0" distR="0">
                  <wp:extent cx="2095500" cy="17145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2095500" cy="171450"/>
                          </a:xfrm>
                          <a:prstGeom prst="rect">
                            <a:avLst/>
                          </a:prstGeom>
                        </pic:spPr>
                      </pic:pic>
                    </a:graphicData>
                  </a:graphic>
                </wp:inline>
              </w:drawing>
            </w:r>
          </w:p>
          <w:p>
            <w:pPr>
              <w:spacing w:after="80"/>
            </w:pPr>
            <w:r>
              <w:rPr>
                <w:rFonts w:ascii="Arial" w:cs="Arial" w:eastAsia="Arial" w:hAnsi="Arial"/>
                <w:b w:val="false"/>
                <w:bCs w:val="false"/>
                <w:i w:val="false"/>
                <w:iCs w:val="false"/>
                <w:color w:val="1A1A1A"/>
                <w:sz w:val="20"/>
                <w:szCs w:val="20"/>
              </w:rPr>
              <w:t xml:space="preserve">Across all three findings the same structural pattern repeats. What is easy to audit gets rewarded. What is hard to audit, judgement, iteration, creativity, collaborative reasoning, gets named but not assessed.</w:t>
            </w:r>
          </w:p>
          <w:p>
            <w:pPr>
              <w:spacing w:after="80"/>
            </w:pPr>
            <w:r>
              <w:rPr>
                <w:rFonts w:ascii="Arial" w:cs="Arial" w:eastAsia="Arial" w:hAnsi="Arial"/>
                <w:b w:val="false"/>
                <w:bCs w:val="false"/>
                <w:i w:val="false"/>
                <w:iCs w:val="false"/>
                <w:color w:val="1A1A1A"/>
                <w:sz w:val="20"/>
                <w:szCs w:val="20"/>
              </w:rPr>
              <w:t xml:space="preserve">ToC does not just say this is too compliance driven, which most of us would say anyway. It shows precisely where in the chain, input, activity, output, outcome or assumption, the logic breaks. That is what makes it useful for redesign rather than only critique.</w:t>
            </w:r>
          </w:p>
          <w:p>
            <w:pPr>
              <w:spacing w:after="90"/>
            </w:pPr>
            <w:r>
              <w:rPr>
                <w:rFonts w:ascii="Arial" w:cs="Arial" w:eastAsia="Arial" w:hAnsi="Arial"/>
                <w:b w:val="false"/>
                <w:bCs w:val="false"/>
                <w:i/>
                <w:iCs/>
                <w:color w:val="595959"/>
                <w:sz w:val="18"/>
                <w:szCs w:val="18"/>
              </w:rPr>
              <w:t xml:space="preserve">This is one programme, read through its documents. The findings describe what the artefacts expect and reward, not necessarily what happens in the room. A fair limit to put to me.</w:t>
            </w:r>
          </w:p>
        </w:tc>
        <w:tc>
          <w:tcPr>
            <w:tcW w:type="dxa" w:w="9977"/>
            <w:tcBorders>
              <w:top w:val="single" w:color="1A1A1A" w:sz="10"/>
              <w:left w:val="single" w:color="1A1A1A" w:sz="10"/>
              <w:bottom w:val="single" w:color="1A1A1A" w:sz="10"/>
              <w:right w:val="single" w:color="1A1A1A" w:sz="10"/>
            </w:tcBorders>
            <w:tcMar>
              <w:top w:type="dxa" w:w="260"/>
              <w:left w:type="dxa" w:w="260"/>
              <w:bottom w:type="dxa" w:w="260"/>
              <w:right w:type="dxa" w:w="260"/>
            </w:tcMar>
            <w:vAlign w:val="top"/>
          </w:tcPr>
          <w:p>
            <w:pPr>
              <w:spacing w:after="40"/>
            </w:pPr>
            <w:r>
              <w:rPr>
                <w:rFonts w:ascii="Arial" w:cs="Arial" w:eastAsia="Arial" w:hAnsi="Arial"/>
                <w:b/>
                <w:bCs/>
                <w:color w:val="C0271E"/>
                <w:sz w:val="34"/>
                <w:szCs w:val="34"/>
              </w:rPr>
              <w:t xml:space="preserve">6  </w:t>
            </w:r>
            <w:r>
              <w:rPr>
                <w:rFonts w:ascii="Arial" w:cs="Arial" w:eastAsia="Arial" w:hAnsi="Arial"/>
                <w:b/>
                <w:bCs/>
                <w:color w:val="1A1A1A"/>
                <w:sz w:val="26"/>
                <w:szCs w:val="26"/>
              </w:rPr>
              <w:t xml:space="preserve">OPEN TO THE TABLE</w:t>
            </w:r>
          </w:p>
          <w:p>
            <w:pPr>
              <w:spacing w:after="100"/>
            </w:pPr>
            <w:r>
              <w:drawing>
                <wp:inline distT="0" distB="0" distL="0" distR="0">
                  <wp:extent cx="2095500" cy="17145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2095500" cy="171450"/>
                          </a:xfrm>
                          <a:prstGeom prst="rect">
                            <a:avLst/>
                          </a:prstGeom>
                        </pic:spPr>
                      </pic:pic>
                    </a:graphicData>
                  </a:graphic>
                </wp:inline>
              </w:drawing>
            </w:r>
          </w:p>
          <w:p>
            <w:pPr>
              <w:spacing w:after="80"/>
            </w:pPr>
            <w:r>
              <w:rPr>
                <w:rFonts w:ascii="Arial" w:cs="Arial" w:eastAsia="Arial" w:hAnsi="Arial"/>
                <w:b/>
                <w:bCs/>
                <w:i w:val="false"/>
                <w:iCs w:val="false"/>
                <w:color w:val="1A1A1A"/>
                <w:sz w:val="23"/>
                <w:szCs w:val="23"/>
              </w:rPr>
              <w:t xml:space="preserve">If we ran this on our own rubrics, would the logic chains hold?</w:t>
            </w:r>
          </w:p>
          <w:p>
            <w:pPr>
              <w:spacing w:after="80"/>
            </w:pPr>
            <w:r>
              <w:rPr>
                <w:rFonts w:ascii="Arial" w:cs="Arial" w:eastAsia="Arial" w:hAnsi="Arial"/>
                <w:b w:val="false"/>
                <w:bCs w:val="false"/>
                <w:i w:val="false"/>
                <w:iCs w:val="false"/>
                <w:color w:val="1A1A1A"/>
                <w:sz w:val="20"/>
                <w:szCs w:val="20"/>
              </w:rPr>
              <w:t xml:space="preserve">And if they did not, would we actually be willing to change what we reward?</w:t>
            </w:r>
          </w:p>
          <w:p>
            <w:pPr>
              <w:spacing w:after="90"/>
            </w:pPr>
            <w:r>
              <w:rPr>
                <w:rFonts w:ascii="Arial" w:cs="Arial" w:eastAsia="Arial" w:hAnsi="Arial"/>
                <w:b/>
                <w:bCs/>
                <w:i w:val="false"/>
                <w:iCs w:val="false"/>
                <w:color w:val="C0271E"/>
                <w:sz w:val="20"/>
                <w:szCs w:val="20"/>
              </w:rPr>
              <w:t xml:space="preserve">Or is the compliance logic doing something useful for the institution that we are not quite admitting to?</w:t>
            </w:r>
          </w:p>
        </w:tc>
      </w:tr>
    </w:tbl>
    <w:sectPr>
      <w:pgSz w:w="23811" w:h="16838" w:orient="landscape"/>
      <w:pgMar w:top="500" w:right="500" w:bottom="500" w:left="5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image" Target="media/9c23e3f0d8a6a98932b9d386924aeea5184a9b8a.png"/><Relationship Id="rId8" Type="http://schemas.openxmlformats.org/officeDocument/2006/relationships/image" Target="media/ae126127dd63462cf168e041a77faa377a19e5e1.png"/><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2026-06-17T13:22:29.515Z</dcterms:created>
  <dcterms:modified xsi:type="dcterms:W3CDTF">2026-06-17T13:22:29.515Z</dcterms:modified>
</cp:coreProperties>
</file>

<file path=docProps/custom.xml><?xml version="1.0" encoding="utf-8"?>
<Properties xmlns="http://schemas.openxmlformats.org/officeDocument/2006/custom-properties" xmlns:vt="http://schemas.openxmlformats.org/officeDocument/2006/docPropsVTypes"/>
</file>